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37729" w14:textId="77777777" w:rsidR="00FF0E5B" w:rsidRPr="008C3289" w:rsidRDefault="00FF0E5B" w:rsidP="006438FC">
      <w:pPr>
        <w:jc w:val="both"/>
        <w:rPr>
          <w:rFonts w:ascii="Arial" w:hAnsi="Arial" w:cs="Arial"/>
          <w:b/>
          <w:bCs/>
          <w:lang w:val="it-IT"/>
        </w:rPr>
      </w:pPr>
    </w:p>
    <w:p w14:paraId="54670D38" w14:textId="57E6526E" w:rsidR="00D95355" w:rsidRPr="008C3289" w:rsidRDefault="00E170B2" w:rsidP="008C3289">
      <w:pPr>
        <w:jc w:val="both"/>
        <w:rPr>
          <w:b/>
          <w:bCs/>
          <w:sz w:val="28"/>
          <w:szCs w:val="28"/>
          <w:rFonts w:ascii="Arial" w:hAnsi="Arial" w:cs="Arial"/>
        </w:rPr>
      </w:pPr>
      <w:r>
        <w:rPr>
          <w:b/>
          <w:sz w:val="28"/>
          <w:rFonts w:ascii="Arial" w:hAnsi="Arial"/>
        </w:rPr>
        <w:t xml:space="preserve">A STABLE SECTOR THAT IS STRIVING TO GROW</w:t>
      </w:r>
    </w:p>
    <w:p w14:paraId="23F067A6" w14:textId="6A3073B6" w:rsidR="001E005D" w:rsidRPr="008C3289" w:rsidRDefault="00E170B2" w:rsidP="008C3289">
      <w:pPr>
        <w:jc w:val="both"/>
        <w:rPr>
          <w:i/>
          <w:iCs/>
          <w:rFonts w:ascii="Arial" w:hAnsi="Arial" w:cs="Arial"/>
        </w:rPr>
      </w:pPr>
      <w:r>
        <w:rPr>
          <w:i/>
          <w:rFonts w:ascii="Arial" w:hAnsi="Arial"/>
        </w:rPr>
        <w:t xml:space="preserve">Following the post covid period of growth, the HOME sector will experience a technical stabilisation in 2023 and return to a more gradual growth rate in the following years. From 2024 to 2027 it will grow by more than 4% in value.</w:t>
      </w:r>
    </w:p>
    <w:p w14:paraId="1B19D57F" w14:textId="77777777" w:rsidR="00EC0C6B" w:rsidRDefault="00EC0C6B" w:rsidP="00D95355">
      <w:pPr>
        <w:jc w:val="both"/>
        <w:rPr>
          <w:rFonts w:ascii="Arial" w:hAnsi="Arial" w:cs="Arial"/>
          <w:i/>
          <w:lang w:val="it-IT"/>
        </w:rPr>
      </w:pPr>
    </w:p>
    <w:p w14:paraId="040E601B" w14:textId="50DD32AF" w:rsidR="00D94FEE" w:rsidRPr="0078462C" w:rsidRDefault="00F9794D" w:rsidP="0078462C">
      <w:pPr>
        <w:jc w:val="both"/>
        <w:rPr>
          <w:rFonts w:ascii="Arial" w:hAnsi="Arial" w:cs="Arial"/>
        </w:rPr>
      </w:pPr>
      <w:r>
        <w:rPr>
          <w:i/>
          <w:iCs/>
          <w:rFonts w:ascii="Arial" w:hAnsi="Arial"/>
        </w:rPr>
        <w:t xml:space="preserve">Milan, 4 October 2023</w:t>
      </w:r>
      <w:r>
        <w:rPr>
          <w:rFonts w:ascii="Arial" w:hAnsi="Arial"/>
        </w:rPr>
        <w:t xml:space="preserve">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In spite of the inflationary pressure on consumption and the technical rebound after years of virtuous growth, the HOME sector enters the next four years with a new positioning, with consistent growth prospects, albeit more restrained than in recent years. In 2022, in fact, </w:t>
      </w:r>
      <w:r>
        <w:rPr>
          <w:i/>
          <w:iCs/>
          <w:rFonts w:ascii="Arial" w:hAnsi="Arial"/>
        </w:rPr>
        <w:t xml:space="preserve">according to data from Sistema Informativo ExportPlanning (September 2023)</w:t>
      </w:r>
      <w:r>
        <w:rPr>
          <w:rFonts w:ascii="Arial" w:hAnsi="Arial"/>
        </w:rPr>
        <w:t xml:space="preserve">, world trade in the HOME sector marked an all-time high point (149.8 billion euro), an increase of about 19% over 2021. This is more than 44 billion euro higher than pre-pandemic levels (2019), equivalent to an increase of about 42 percentage points.</w:t>
      </w:r>
    </w:p>
    <w:p w14:paraId="3689953F" w14:textId="76BE773A" w:rsidR="00D94FEE" w:rsidRPr="0078462C" w:rsidRDefault="00D94FEE" w:rsidP="0078462C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At the international level, all major segments of the industry have largely recovered above pre-pandemic levels.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Specifically, the </w:t>
      </w:r>
      <w:r>
        <w:rPr>
          <w:i/>
          <w:iCs/>
          <w:rFonts w:ascii="Arial" w:hAnsi="Arial"/>
        </w:rPr>
        <w:t xml:space="preserve">knife and cutlery</w:t>
      </w:r>
      <w:r>
        <w:rPr>
          <w:rFonts w:ascii="Arial" w:hAnsi="Arial"/>
        </w:rPr>
        <w:t xml:space="preserve"> (+52.5%) and </w:t>
      </w:r>
      <w:r>
        <w:rPr>
          <w:i/>
          <w:iCs/>
          <w:rFonts w:ascii="Arial" w:hAnsi="Arial"/>
        </w:rPr>
        <w:t xml:space="preserve">miscellaneous household goods</w:t>
      </w:r>
      <w:r>
        <w:rPr>
          <w:rFonts w:ascii="Arial" w:hAnsi="Arial"/>
        </w:rPr>
        <w:t xml:space="preserve"> (+65.1%) segments showed the highest increases over 2019.</w:t>
      </w:r>
    </w:p>
    <w:p w14:paraId="572F5685" w14:textId="77777777" w:rsidR="00D94FEE" w:rsidRPr="00FD685A" w:rsidRDefault="00D94FEE" w:rsidP="0078462C">
      <w:pPr>
        <w:jc w:val="both"/>
      </w:pPr>
      <w:r>
        <w:rPr>
          <w:b/>
          <w:bCs/>
          <w:rFonts w:ascii="Arial" w:hAnsi="Arial"/>
        </w:rPr>
        <w:t xml:space="preserve">2023 has shown a slowdown in global trade in the sector</w:t>
      </w:r>
      <w:r>
        <w:rPr>
          <w:rFonts w:ascii="Arial" w:hAnsi="Arial"/>
        </w:rPr>
        <w:t xml:space="preserve">, with a pre-estimated year-end of a slight decline in euro values </w:t>
      </w:r>
      <w:r>
        <w:rPr>
          <w:b/>
          <w:bCs/>
          <w:rFonts w:ascii="Arial" w:hAnsi="Arial"/>
        </w:rPr>
        <w:t xml:space="preserve">(-1.4%)</w:t>
      </w:r>
      <w:r>
        <w:rPr>
          <w:rFonts w:ascii="Arial" w:hAnsi="Arial"/>
        </w:rPr>
        <w:t xml:space="preserve">.</w:t>
      </w:r>
      <w:r>
        <w:rPr>
          <w:b/>
          <w:bCs/>
          <w:rFonts w:ascii="Arial" w:hAnsi="Arial"/>
        </w:rPr>
        <w:t xml:space="preserve"> Looking ahead to 2027, world trade in HOME products is expected to recover dynamically, with average annual growth of between 4.3 and 5.4 percentage points in euro values.</w:t>
      </w:r>
      <w:r>
        <w:t xml:space="preserve"> </w:t>
      </w:r>
      <w:r>
        <w:tab/>
      </w:r>
    </w:p>
    <w:p w14:paraId="0858E7BB" w14:textId="136FCF77" w:rsidR="009B53AB" w:rsidRPr="00863843" w:rsidRDefault="009B53AB" w:rsidP="0078462C">
      <w:pPr>
        <w:jc w:val="both"/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EXPORTS:</w:t>
      </w:r>
      <w:r>
        <w:rPr>
          <w:b/>
          <w:rFonts w:ascii="Arial" w:hAnsi="Arial"/>
        </w:rPr>
        <w:t xml:space="preserve"> </w:t>
      </w:r>
      <w:r>
        <w:rPr>
          <w:b/>
          <w:rFonts w:ascii="Arial" w:hAnsi="Arial"/>
        </w:rPr>
        <w:t xml:space="preserve">TOWARDS A POSITIVE REBOUND FROM 2024</w:t>
      </w:r>
    </w:p>
    <w:p w14:paraId="511376C2" w14:textId="069B214B" w:rsidR="0078462C" w:rsidRPr="0078462C" w:rsidRDefault="0078462C" w:rsidP="0078462C">
      <w:pPr>
        <w:jc w:val="both"/>
        <w:rPr>
          <w:rFonts w:ascii="Arial" w:hAnsi="Arial" w:cs="Arial"/>
        </w:rPr>
      </w:pPr>
      <w:r>
        <w:rPr>
          <w:b/>
          <w:bCs/>
          <w:rFonts w:ascii="Arial" w:hAnsi="Arial"/>
        </w:rPr>
        <w:t xml:space="preserve">In 2022</w:t>
      </w:r>
      <w:r>
        <w:rPr>
          <w:rFonts w:ascii="Arial" w:hAnsi="Arial"/>
        </w:rPr>
        <w:t xml:space="preserve">, Italian HOME exports grew by just over 10 percentage points in euro values, at levels more than 25 percentage points above pre-pandemic levels, to a record (never before experienced) value of </w:t>
      </w:r>
      <w:r>
        <w:rPr>
          <w:b/>
          <w:bCs/>
          <w:rFonts w:ascii="Arial" w:hAnsi="Arial"/>
        </w:rPr>
        <w:t xml:space="preserve">2.6 billion euro</w:t>
      </w:r>
      <w:r>
        <w:rPr>
          <w:rFonts w:ascii="Arial" w:hAnsi="Arial"/>
        </w:rPr>
        <w:t xml:space="preserve">.</w:t>
      </w:r>
    </w:p>
    <w:p w14:paraId="72BFCBD0" w14:textId="77777777" w:rsidR="0078462C" w:rsidRPr="0078462C" w:rsidRDefault="0078462C" w:rsidP="0078462C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The current year is experiencing a slowdown in the development pace of Italian exports of HOME products.</w:t>
      </w:r>
      <w:r>
        <w:rPr>
          <w:rFonts w:ascii="Arial" w:hAnsi="Arial"/>
        </w:rPr>
        <w:t xml:space="preserve"> </w:t>
      </w:r>
      <w:r>
        <w:rPr>
          <w:b/>
          <w:bCs/>
          <w:rFonts w:ascii="Arial" w:hAnsi="Arial"/>
        </w:rPr>
        <w:t xml:space="preserve">At year-end, substantial stability (+0.1%) is expected for Italian exports in the sector.</w:t>
      </w:r>
      <w:r>
        <w:rPr>
          <w:rFonts w:ascii="Arial" w:hAnsi="Arial"/>
        </w:rPr>
        <w:t xml:space="preserve"> </w:t>
      </w:r>
    </w:p>
    <w:p w14:paraId="7C840BA0" w14:textId="21874A55" w:rsidR="00D95355" w:rsidRDefault="0078462C" w:rsidP="0078462C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The most penalised segment for Italian foreign sales in the sector appears to be that of </w:t>
      </w:r>
      <w:r>
        <w:rPr>
          <w:i/>
          <w:iCs/>
          <w:rFonts w:ascii="Arial" w:hAnsi="Arial"/>
        </w:rPr>
        <w:t xml:space="preserve">pots and pans</w:t>
      </w:r>
      <w:r>
        <w:rPr>
          <w:rFonts w:ascii="Arial" w:hAnsi="Arial"/>
        </w:rPr>
        <w:t xml:space="preserve"> (-6.7% expected in 2023); on the other hand, the best performance in 2023 was in the </w:t>
      </w:r>
      <w:r>
        <w:rPr>
          <w:i/>
          <w:iCs/>
          <w:rFonts w:ascii="Arial" w:hAnsi="Arial"/>
        </w:rPr>
        <w:t xml:space="preserve">knives and cutlery</w:t>
      </w:r>
      <w:r>
        <w:rPr>
          <w:rFonts w:ascii="Arial" w:hAnsi="Arial"/>
        </w:rPr>
        <w:t xml:space="preserve"> segment (+5.4% the pre-estimate for 2023).</w:t>
      </w:r>
    </w:p>
    <w:p w14:paraId="037AE159" w14:textId="77777777" w:rsidR="00AE605F" w:rsidRDefault="00AE605F" w:rsidP="0078462C">
      <w:pPr>
        <w:jc w:val="both"/>
        <w:rPr>
          <w:rFonts w:ascii="Arial" w:hAnsi="Arial" w:cs="Arial"/>
          <w:lang w:val="it-IT"/>
        </w:rPr>
      </w:pPr>
    </w:p>
    <w:p w14:paraId="2F6222B3" w14:textId="0F446F0D" w:rsidR="00693FDB" w:rsidRDefault="006A3E9E" w:rsidP="006A3E9E">
      <w:pPr>
        <w:jc w:val="both"/>
        <w:rPr>
          <w:rFonts w:ascii="Arial" w:hAnsi="Arial" w:cs="Arial"/>
        </w:rPr>
      </w:pPr>
      <w:r>
        <w:rPr>
          <w:b/>
          <w:bCs/>
          <w:rFonts w:ascii="Arial" w:hAnsi="Arial"/>
        </w:rPr>
        <w:t xml:space="preserve">In the 2024-2027 scenario, Italian export performance is expected to accelerate, albeit at a relatively moderate pace: an average annual growth rate of +1.8% in euro values is predicted for 2024</w:t>
      </w:r>
      <w:r>
        <w:rPr>
          <w:rFonts w:ascii="Arial" w:hAnsi="Arial"/>
        </w:rPr>
        <w:t xml:space="preserve">; a moderately more dynamic pace (+3.3%) is expected for the following three-year period (2025-2027).</w:t>
      </w:r>
    </w:p>
    <w:p w14:paraId="4033D8A5" w14:textId="32442015" w:rsidR="00B35BCD" w:rsidRPr="00FD685A" w:rsidRDefault="00B35BCD" w:rsidP="00B35BCD">
      <w:pPr>
        <w:spacing w:line="254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In the 2024-2027 forecast scenario, </w:t>
      </w:r>
      <w:r>
        <w:rPr>
          <w:b/>
          <w:bCs/>
          <w:rFonts w:ascii="Arial" w:hAnsi="Arial"/>
        </w:rPr>
        <w:t xml:space="preserve">France</w:t>
      </w:r>
      <w:r>
        <w:rPr>
          <w:rFonts w:ascii="Arial" w:hAnsi="Arial"/>
        </w:rPr>
        <w:t xml:space="preserve"> and the </w:t>
      </w:r>
      <w:r>
        <w:rPr>
          <w:b/>
          <w:bCs/>
          <w:rFonts w:ascii="Arial" w:hAnsi="Arial"/>
        </w:rPr>
        <w:t xml:space="preserve">United States</w:t>
      </w:r>
      <w:r>
        <w:rPr>
          <w:rFonts w:ascii="Arial" w:hAnsi="Arial"/>
        </w:rPr>
        <w:t xml:space="preserve"> are expected to be the main markets driving Italian HOME sales, with increases of more than 30 million euro compared to 2023 (and average annual growth rates ranging from +1.9% in the French market to +2.2% in the USA market).</w:t>
      </w:r>
      <w:r>
        <w:rPr>
          <w:rFonts w:ascii="Arial" w:hAnsi="Arial"/>
        </w:rPr>
        <w:t xml:space="preserve"> </w:t>
      </w:r>
    </w:p>
    <w:p w14:paraId="200AFF7F" w14:textId="26DAD07A" w:rsidR="00B35BCD" w:rsidRPr="00FD685A" w:rsidRDefault="00B35BCD" w:rsidP="00B35BCD">
      <w:pPr>
        <w:spacing w:line="254" w:lineRule="auto"/>
        <w:jc w:val="both"/>
        <w:rPr>
          <w:rFonts w:ascii="Arial" w:hAnsi="Arial" w:cs="Arial"/>
        </w:rPr>
      </w:pPr>
      <w:bookmarkStart w:id="0" w:name="_3znysh7"/>
      <w:bookmarkEnd w:id="0"/>
      <w:r>
        <w:rPr>
          <w:rFonts w:ascii="Arial" w:hAnsi="Arial"/>
        </w:rPr>
        <w:t xml:space="preserve">This is followed by expected growth in Italian HOME sales to </w:t>
      </w:r>
      <w:r>
        <w:rPr>
          <w:b/>
          <w:bCs/>
          <w:rFonts w:ascii="Arial" w:hAnsi="Arial"/>
        </w:rPr>
        <w:t xml:space="preserve">Germany</w:t>
      </w:r>
      <w:r>
        <w:rPr>
          <w:rFonts w:ascii="Arial" w:hAnsi="Arial"/>
        </w:rPr>
        <w:t xml:space="preserve"> (+24.1 million euro over 2023, i.e. +2%), the </w:t>
      </w:r>
      <w:r>
        <w:rPr>
          <w:b/>
          <w:bCs/>
          <w:rFonts w:ascii="Arial" w:hAnsi="Arial"/>
        </w:rPr>
        <w:t xml:space="preserve">Netherlands</w:t>
      </w:r>
      <w:r>
        <w:rPr>
          <w:rFonts w:ascii="Arial" w:hAnsi="Arial"/>
        </w:rPr>
        <w:t xml:space="preserve"> (+4%, i.e. +16.9 million euro), </w:t>
      </w:r>
      <w:r>
        <w:rPr>
          <w:b/>
          <w:bCs/>
          <w:rFonts w:ascii="Arial" w:hAnsi="Arial"/>
        </w:rPr>
        <w:t xml:space="preserve">Spain</w:t>
      </w:r>
      <w:r>
        <w:rPr>
          <w:rFonts w:ascii="Arial" w:hAnsi="Arial"/>
        </w:rPr>
        <w:t xml:space="preserve"> (+2.7%, i.e. +16.8 million euro) and </w:t>
      </w:r>
      <w:r>
        <w:rPr>
          <w:b/>
          <w:bCs/>
          <w:rFonts w:ascii="Arial" w:hAnsi="Arial"/>
        </w:rPr>
        <w:t xml:space="preserve">Poland</w:t>
      </w:r>
      <w:r>
        <w:rPr>
          <w:rFonts w:ascii="Arial" w:hAnsi="Arial"/>
        </w:rPr>
        <w:t xml:space="preserve"> (+5.4%, i.e. +15.3 million euro).</w:t>
      </w:r>
      <w:r>
        <w:rPr>
          <w:rFonts w:ascii="Arial" w:hAnsi="Arial"/>
        </w:rPr>
        <w:t xml:space="preserve"> </w:t>
      </w:r>
    </w:p>
    <w:p w14:paraId="6754EDCE" w14:textId="7DF352C8" w:rsidR="00B35BCD" w:rsidRPr="00FD685A" w:rsidRDefault="00B35BCD" w:rsidP="009A2D3B">
      <w:pPr>
        <w:spacing w:line="254" w:lineRule="auto"/>
        <w:jc w:val="both"/>
        <w:rPr>
          <w:rFonts w:ascii="Arial" w:hAnsi="Arial" w:cs="Arial"/>
        </w:rPr>
      </w:pPr>
      <w:bookmarkStart w:id="1" w:name="_2et92p0"/>
      <w:bookmarkEnd w:id="1"/>
      <w:r>
        <w:rPr>
          <w:rFonts w:ascii="Arial" w:hAnsi="Arial"/>
        </w:rPr>
        <w:t xml:space="preserve">Promising contributions to the increase in Italian exports in the sector came from Croatia (+9 million euro over 2023), Romania (+8.9 million euro), the United Kingdom (+8.7 million euro) and Vietnam (+8.6 million euro).</w:t>
      </w:r>
    </w:p>
    <w:p w14:paraId="6F62BA9B" w14:textId="1A6672F5" w:rsidR="006A3E9E" w:rsidRPr="006A3E9E" w:rsidRDefault="006A3E9E" w:rsidP="006A3E9E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In the medium term, the best relative performances are expected from the </w:t>
      </w:r>
      <w:r>
        <w:rPr>
          <w:i/>
          <w:iCs/>
          <w:rFonts w:ascii="Arial" w:hAnsi="Arial"/>
        </w:rPr>
        <w:t xml:space="preserve">home textiles</w:t>
      </w:r>
      <w:r>
        <w:rPr>
          <w:rFonts w:ascii="Arial" w:hAnsi="Arial"/>
        </w:rPr>
        <w:t xml:space="preserve"> segment (+3.3% next year; +4.9% in the following three-year period) and </w:t>
      </w:r>
      <w:r>
        <w:rPr>
          <w:i/>
          <w:iCs/>
          <w:rFonts w:ascii="Arial" w:hAnsi="Arial"/>
        </w:rPr>
        <w:t xml:space="preserve">knives and cutlery</w:t>
      </w:r>
      <w:r>
        <w:rPr>
          <w:rFonts w:ascii="Arial" w:hAnsi="Arial"/>
        </w:rPr>
        <w:t xml:space="preserve"> (+3.7% in 2024; +5.1% in the 2025-2027 period). On the other hand, little dynamic performance is expected for the </w:t>
      </w:r>
      <w:r>
        <w:rPr>
          <w:i/>
          <w:iCs/>
          <w:rFonts w:ascii="Arial" w:hAnsi="Arial"/>
        </w:rPr>
        <w:t xml:space="preserve">pots and pans</w:t>
      </w:r>
      <w:r>
        <w:rPr>
          <w:rFonts w:ascii="Arial" w:hAnsi="Arial"/>
        </w:rPr>
        <w:t xml:space="preserve"> segment (-0.3% next year; +1.3% in the following three-year period).</w:t>
      </w:r>
    </w:p>
    <w:p w14:paraId="5D079715" w14:textId="07D2EB71" w:rsidR="00831F99" w:rsidRPr="007070CE" w:rsidRDefault="00831F99" w:rsidP="0044390B">
      <w:pPr>
        <w:jc w:val="both"/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IMPORTS:</w:t>
      </w:r>
      <w:r>
        <w:rPr>
          <w:b/>
          <w:rFonts w:ascii="Arial" w:hAnsi="Arial"/>
        </w:rPr>
        <w:t xml:space="preserve"> </w:t>
      </w:r>
      <w:r>
        <w:rPr>
          <w:b/>
          <w:rFonts w:ascii="Arial" w:hAnsi="Arial"/>
        </w:rPr>
        <w:t xml:space="preserve">TOWARDS MODERATE ACCELERATION</w:t>
      </w:r>
    </w:p>
    <w:p w14:paraId="1088F08C" w14:textId="3E9B0B26" w:rsidR="0044390B" w:rsidRPr="0044390B" w:rsidRDefault="0044390B" w:rsidP="0044390B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In 2022, Italian imports of HOME products reached a record 3148 million euro (+38 per cent over pre-pandemic levels). For 2023 there is a significant slowdown in Italian imports of the sector, which is estimated to close the year with a slight decrease (-1.8%) compared to 2022.</w:t>
      </w:r>
      <w:r>
        <w:rPr>
          <w:rFonts w:ascii="Arial" w:hAnsi="Arial"/>
        </w:rPr>
        <w:t xml:space="preserve">  </w:t>
      </w:r>
    </w:p>
    <w:p w14:paraId="3F59157E" w14:textId="101E2A11" w:rsidR="00DD4823" w:rsidRPr="00F15B1D" w:rsidRDefault="00DD4823" w:rsidP="0044390B">
      <w:pPr>
        <w:jc w:val="both"/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With approximately 3.1 billion euro estimated at the end of the year, Italy ranks 9th among 2023 world importers of the sector.</w:t>
      </w:r>
    </w:p>
    <w:p w14:paraId="6B25F1DE" w14:textId="063E1AA3" w:rsidR="003702B0" w:rsidRPr="003702B0" w:rsidRDefault="0044390B" w:rsidP="009D2566">
      <w:pPr>
        <w:jc w:val="both"/>
        <w:rPr>
          <w:i/>
          <w:iCs/>
          <w:rFonts w:ascii="Arial" w:hAnsi="Arial" w:cs="Arial"/>
        </w:rPr>
      </w:pPr>
      <w:r>
        <w:rPr>
          <w:rFonts w:ascii="Arial" w:hAnsi="Arial"/>
        </w:rPr>
        <w:t xml:space="preserve">Italian imports in the 2024-2027 scenario are expected to increase at a slightly faster pace, albeit relatively modestly: for 2024 an average annual growth of +2.9 per cent in euro values is expected; a moderately more dynamic pace (+4%) is expected for the following three-year period (2025-2027).</w:t>
      </w:r>
      <w:r>
        <w:rPr>
          <w:rFonts w:ascii="Arial" w:hAnsi="Arial"/>
        </w:rPr>
        <w:t xml:space="preserve">  </w:t>
      </w:r>
      <w:r>
        <w:rPr>
          <w:rFonts w:ascii="Arial" w:hAnsi="Arial"/>
        </w:rPr>
        <w:t xml:space="preserve">Over the 2025-2027 period, the best relative performances are expected from the </w:t>
      </w:r>
      <w:r>
        <w:rPr>
          <w:i/>
          <w:iCs/>
          <w:rFonts w:ascii="Arial" w:hAnsi="Arial"/>
        </w:rPr>
        <w:t xml:space="preserve">home textiles</w:t>
      </w:r>
      <w:r>
        <w:rPr>
          <w:rFonts w:ascii="Arial" w:hAnsi="Arial"/>
        </w:rPr>
        <w:t xml:space="preserve"> (+4.9%), </w:t>
      </w:r>
      <w:r>
        <w:rPr>
          <w:i/>
          <w:iCs/>
          <w:rFonts w:ascii="Arial" w:hAnsi="Arial"/>
        </w:rPr>
        <w:t xml:space="preserve">pots and pans</w:t>
      </w:r>
      <w:r>
        <w:rPr>
          <w:rFonts w:ascii="Arial" w:hAnsi="Arial"/>
        </w:rPr>
        <w:t xml:space="preserve"> (+4.7%) and </w:t>
      </w:r>
      <w:r>
        <w:rPr>
          <w:i/>
          <w:iCs/>
          <w:rFonts w:ascii="Arial" w:hAnsi="Arial"/>
        </w:rPr>
        <w:t xml:space="preserve">knives and cutlery</w:t>
      </w:r>
      <w:r>
        <w:rPr>
          <w:rFonts w:ascii="Arial" w:hAnsi="Arial"/>
        </w:rPr>
        <w:t xml:space="preserve"> (+4.4%) segments. On the other hand, less dynamic performances are expected for the</w:t>
      </w:r>
      <w:r>
        <w:rPr>
          <w:i/>
          <w:iCs/>
          <w:rFonts w:ascii="Arial" w:hAnsi="Arial"/>
        </w:rPr>
        <w:t xml:space="preserve"> miscellaneous household goods</w:t>
      </w:r>
      <w:r>
        <w:rPr>
          <w:rFonts w:ascii="Arial" w:hAnsi="Arial"/>
        </w:rPr>
        <w:t xml:space="preserve"> segment (+2.1%).</w:t>
      </w:r>
    </w:p>
    <w:sectPr w:rsidR="003702B0" w:rsidRPr="003702B0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42340" w14:textId="77777777" w:rsidR="00770182" w:rsidRDefault="00770182" w:rsidP="004214F0">
      <w:pPr>
        <w:spacing w:after="0" w:line="240" w:lineRule="auto"/>
      </w:pPr>
      <w:r>
        <w:separator/>
      </w:r>
    </w:p>
  </w:endnote>
  <w:endnote w:type="continuationSeparator" w:id="0">
    <w:p w14:paraId="3E4EAE06" w14:textId="77777777" w:rsidR="00770182" w:rsidRDefault="00770182" w:rsidP="004214F0">
      <w:pPr>
        <w:spacing w:after="0" w:line="240" w:lineRule="auto"/>
      </w:pPr>
      <w:r>
        <w:continuationSeparator/>
      </w:r>
    </w:p>
  </w:endnote>
  <w:endnote w:type="continuationNotice" w:id="1">
    <w:p w14:paraId="4E306AD5" w14:textId="77777777" w:rsidR="00770182" w:rsidRDefault="007701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sz w:val="20"/>
            <w:szCs w:val="20"/>
            <w:rFonts w:ascii="Arial" w:hAnsi="Arial" w:cs="Arial"/>
          </w:rPr>
        </w:pPr>
        <w:r>
          <w:rPr>
            <w:sz w:val="20"/>
            <w:rFonts w:ascii="Arial" w:hAnsi="Aria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1F848" w14:textId="77777777" w:rsidR="00770182" w:rsidRDefault="00770182" w:rsidP="004214F0">
      <w:pPr>
        <w:spacing w:after="0" w:line="240" w:lineRule="auto"/>
      </w:pPr>
      <w:r>
        <w:separator/>
      </w:r>
    </w:p>
  </w:footnote>
  <w:footnote w:type="continuationSeparator" w:id="0">
    <w:p w14:paraId="5DB7C9AE" w14:textId="77777777" w:rsidR="00770182" w:rsidRDefault="00770182" w:rsidP="004214F0">
      <w:pPr>
        <w:spacing w:after="0" w:line="240" w:lineRule="auto"/>
      </w:pPr>
      <w:r>
        <w:continuationSeparator/>
      </w:r>
    </w:p>
  </w:footnote>
  <w:footnote w:type="continuationNotice" w:id="1">
    <w:p w14:paraId="7C6FEEB7" w14:textId="77777777" w:rsidR="00770182" w:rsidRDefault="007701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6F40BD92" w:rsidR="00E10E56" w:rsidRDefault="00FF0E5B">
    <w:pPr>
      <w:pStyle w:val="Intestazione"/>
    </w:pPr>
    <w:r>
      <w:drawing>
        <wp:anchor distT="0" distB="0" distL="114300" distR="114300" simplePos="0" relativeHeight="251658248" behindDoc="1" locked="0" layoutInCell="1" allowOverlap="1" wp14:anchorId="21B57EDB" wp14:editId="0CA8CEBC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6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5050BD0" wp14:editId="1DA2F09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4A2C48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Press office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10919BF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b/>
                              <w:rFonts w:ascii="Arial" w:hAnsi="Arial"/>
                            </w:rPr>
                            <w:t xml:space="preserve">Fiera Milano</w:t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3D18924B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+39 02 4997.6675</w:t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72B118FD" w14:textId="77777777" w:rsidR="00FF0E5B" w:rsidRPr="0075489A" w:rsidRDefault="00FF0E5B" w:rsidP="00FF0E5B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+ 39 02 4997 7939</w:t>
                          </w:r>
                        </w:p>
                        <w:p w14:paraId="0F18A8A2" w14:textId="77777777" w:rsidR="00FF0E5B" w:rsidRDefault="00FF0E5B" w:rsidP="00FF0E5B">
                          <w:pPr>
                            <w:pStyle w:val="Paragrafobase"/>
                            <w:suppressAutoHyphens/>
                            <w:rPr>
                              <w:color w:val="007656"/>
                              <w:sz w:val="14"/>
                              <w:szCs w:val="14"/>
                              <w:rFonts w:ascii="Arial" w:hAnsi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milanohomepress@fieramilano.it</w:t>
                          </w:r>
                        </w:p>
                        <w:p w14:paraId="400A191B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E71FADF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Press office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55B22396" w14:textId="6A519467" w:rsidR="00FF0E5B" w:rsidRPr="0075489A" w:rsidRDefault="00BE48C5" w:rsidP="00FF0E5B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b/>
                              <w:rFonts w:ascii="Arial" w:hAnsi="Arial"/>
                            </w:rPr>
                            <w:t xml:space="preserve">MILANO HOME</w:t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cr/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br/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Guitar Pr &amp; Communication Consultancy </w:t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cr/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br/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+39 02 316659</w:t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cr/>
                          </w:r>
                        </w:p>
                        <w:p w14:paraId="2E0C24E2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EFC17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Fiera Milano S.p.A.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62DD405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+39 02.4997.7134</w:t>
                          </w:r>
                        </w:p>
                        <w:p w14:paraId="5CF9B167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fieramilano@fieramilano.it</w:t>
                          </w:r>
                        </w:p>
                        <w:p w14:paraId="7217A2EB" w14:textId="77777777" w:rsidR="00FF0E5B" w:rsidRPr="001A0E54" w:rsidRDefault="00FF0E5B" w:rsidP="00FF0E5B">
                          <w:pPr>
                            <w:rPr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50BD0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384A2C48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10919BF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b/>
                        <w:rFonts w:ascii="Arial" w:hAnsi="Arial"/>
                      </w:rPr>
                      <w:t xml:space="preserve">Fiera Milano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3D18924B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+39 02 4997.6675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72B118FD" w14:textId="77777777" w:rsidR="00FF0E5B" w:rsidRPr="0075489A" w:rsidRDefault="00FF0E5B" w:rsidP="00FF0E5B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+ 39 02 4997 7939</w:t>
                    </w:r>
                  </w:p>
                  <w:p w14:paraId="0F18A8A2" w14:textId="77777777" w:rsidR="00FF0E5B" w:rsidRDefault="00FF0E5B" w:rsidP="00FF0E5B">
                    <w:pPr>
                      <w:pStyle w:val="Paragrafobase"/>
                      <w:suppressAutoHyphens/>
                      <w:rPr>
                        <w:color w:val="007656"/>
                        <w:sz w:val="14"/>
                        <w:szCs w:val="14"/>
                        <w:rFonts w:ascii="Arial" w:hAnsi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milanohomepress@fieramilano.it</w:t>
                    </w:r>
                  </w:p>
                  <w:p w14:paraId="400A191B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E71FADF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55B22396" w14:textId="6A519467" w:rsidR="00FF0E5B" w:rsidRPr="0075489A" w:rsidRDefault="00BE48C5" w:rsidP="00FF0E5B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b/>
                        <w:rFonts w:ascii="Arial" w:hAnsi="Arial"/>
                      </w:rPr>
                      <w:t xml:space="preserve">MILANO HOME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c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b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Guitar Pr &amp; Communication Consultancy 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c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b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+39 02 316659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cr/>
                    </w:r>
                  </w:p>
                  <w:p w14:paraId="2E0C24E2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EFC17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Fiera Milano S.p.A.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62DD405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+39 02.4997.7134</w:t>
                    </w:r>
                  </w:p>
                  <w:p w14:paraId="5CF9B167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fieramilano@fieramilano.it</w:t>
                    </w:r>
                  </w:p>
                  <w:p w14:paraId="7217A2EB" w14:textId="77777777" w:rsidR="00FF0E5B" w:rsidRPr="001A0E54" w:rsidRDefault="00FF0E5B" w:rsidP="00FF0E5B">
                    <w:pPr>
                      <w:rPr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0F48900E" w:rsidR="00EE0C6F" w:rsidRDefault="00FF0E5B" w:rsidP="00941DAF">
    <w:pPr>
      <w:pStyle w:val="Intestazione"/>
      <w:jc w:val="right"/>
    </w:pPr>
    <w:r>
      <w:drawing>
        <wp:anchor distT="0" distB="0" distL="114300" distR="114300" simplePos="0" relativeHeight="251658247" behindDoc="0" locked="0" layoutInCell="1" allowOverlap="1" wp14:anchorId="4EEDA98D" wp14:editId="2B0D9BFC">
          <wp:simplePos x="0" y="0"/>
          <wp:positionH relativeFrom="margin">
            <wp:posOffset>5412740</wp:posOffset>
          </wp:positionH>
          <wp:positionV relativeFrom="paragraph">
            <wp:posOffset>254000</wp:posOffset>
          </wp:positionV>
          <wp:extent cx="1062954" cy="731520"/>
          <wp:effectExtent l="0" t="0" r="4445" b="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EF5D73C" wp14:editId="540240B4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08E82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Press office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37BFF8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b/>
                              <w:rFonts w:ascii="Arial" w:hAnsi="Arial"/>
                            </w:rPr>
                            <w:t xml:space="preserve">Fiera Milano</w:t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5ABCF881" w14:textId="77777777" w:rsidR="0075489A" w:rsidRPr="00D4721A" w:rsidRDefault="0075489A" w:rsidP="00EE0C6F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+39 02 4997.6675</w:t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1E96625A" w14:textId="191304E9" w:rsidR="0075489A" w:rsidRPr="0075489A" w:rsidRDefault="0075489A" w:rsidP="00EE0C6F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+ 39 02 4997 7939</w:t>
                          </w:r>
                        </w:p>
                        <w:p w14:paraId="03CF95DC" w14:textId="198BECA0" w:rsidR="00EE0C6F" w:rsidRDefault="00FF0E5B" w:rsidP="00EE0C6F">
                          <w:pPr>
                            <w:pStyle w:val="Paragrafobase"/>
                            <w:suppressAutoHyphens/>
                            <w:rPr>
                              <w:color w:val="007656"/>
                              <w:sz w:val="14"/>
                              <w:szCs w:val="14"/>
                              <w:rFonts w:ascii="Arial" w:hAnsi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milanohomepress@fieramilano.it</w:t>
                          </w:r>
                        </w:p>
                        <w:p w14:paraId="280165DB" w14:textId="77777777" w:rsidR="00FF0E5B" w:rsidRPr="001A0E54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DB4D7F0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Press office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2DCCE2D0" w14:textId="65E77470" w:rsidR="0075489A" w:rsidRPr="0075489A" w:rsidRDefault="00BE48C5" w:rsidP="0075489A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b/>
                              <w:rFonts w:ascii="Arial" w:hAnsi="Arial"/>
                            </w:rPr>
                            <w:t xml:space="preserve">MILANO HOME</w:t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cr/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br/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Guitar Pr &amp; Communication Consultancy </w:t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cr/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br/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+39 02 316659</w:t>
                          </w: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cr/>
                          </w:r>
                        </w:p>
                        <w:p w14:paraId="28260A20" w14:textId="77777777" w:rsidR="00EE0C6F" w:rsidRPr="00D4721A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65F28D1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Fiera Milano S.p.A.</w:t>
                          </w:r>
                          <w:r>
                            <w:rPr>
                              <w:b/>
                              <w:color w:val="007656"/>
                              <w:sz w:val="14"/>
                              <w:rFonts w:ascii="Arial" w:hAnsi="Arial"/>
                            </w:rPr>
                            <w:t xml:space="preserve"> </w:t>
                          </w:r>
                        </w:p>
                        <w:p w14:paraId="1BADC6C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+39 02.4997.7134</w:t>
                          </w:r>
                        </w:p>
                        <w:p w14:paraId="74B05706" w14:textId="77777777" w:rsidR="00EE0C6F" w:rsidRPr="001A0E54" w:rsidRDefault="0075489A" w:rsidP="00EE0C6F">
                          <w:pPr>
                            <w:pStyle w:val="Paragrafobase"/>
                            <w:suppressAutoHyphens/>
                            <w:rPr>
                              <w:color w:val="007656"/>
                              <w:spacing w:val="-1"/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fieramilano@fieramilano.it</w:t>
                          </w:r>
                        </w:p>
                        <w:p w14:paraId="2C0775FF" w14:textId="77777777" w:rsidR="00EE0C6F" w:rsidRPr="001A0E54" w:rsidRDefault="00EE0C6F" w:rsidP="00EE0C6F">
                          <w:pPr>
                            <w:rPr>
                              <w:sz w:val="14"/>
                              <w:szCs w:val="14"/>
                              <w:rFonts w:ascii="Arial" w:hAnsi="Arial" w:cs="Arial"/>
                            </w:rPr>
                          </w:pPr>
                          <w:r>
                            <w:rPr>
                              <w:color w:val="007656"/>
                              <w:sz w:val="14"/>
                              <w:rFonts w:ascii="Arial" w:hAnsi="Arial"/>
                            </w:rPr>
                            <w:t xml:space="preserve"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5D73C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left:0;text-align:left;margin-left:12pt;margin-top:138.95pt;width:108.35pt;height:598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7308E82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37BFF8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b/>
                        <w:rFonts w:ascii="Arial" w:hAnsi="Arial"/>
                      </w:rPr>
                      <w:t xml:space="preserve">Fiera Milano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5ABCF881" w14:textId="77777777" w:rsidR="0075489A" w:rsidRPr="00D4721A" w:rsidRDefault="0075489A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+39 02 4997.6675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1E96625A" w14:textId="191304E9" w:rsidR="0075489A" w:rsidRPr="0075489A" w:rsidRDefault="0075489A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+ 39 02 4997 7939</w:t>
                    </w:r>
                  </w:p>
                  <w:p w14:paraId="03CF95DC" w14:textId="198BECA0" w:rsidR="00EE0C6F" w:rsidRDefault="00FF0E5B" w:rsidP="00EE0C6F">
                    <w:pPr>
                      <w:pStyle w:val="Paragrafobase"/>
                      <w:suppressAutoHyphens/>
                      <w:rPr>
                        <w:color w:val="007656"/>
                        <w:sz w:val="14"/>
                        <w:szCs w:val="14"/>
                        <w:rFonts w:ascii="Arial" w:hAnsi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milanohomepress@fieramilano.it</w:t>
                    </w:r>
                  </w:p>
                  <w:p w14:paraId="280165DB" w14:textId="77777777" w:rsidR="00FF0E5B" w:rsidRPr="001A0E54" w:rsidRDefault="00FF0E5B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DB4D7F0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2DCCE2D0" w14:textId="65E77470" w:rsidR="0075489A" w:rsidRPr="0075489A" w:rsidRDefault="00BE48C5" w:rsidP="0075489A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b/>
                        <w:rFonts w:ascii="Arial" w:hAnsi="Arial"/>
                      </w:rPr>
                      <w:t xml:space="preserve">MILANO HOME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c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b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Guitar Pr &amp; Communication Consultancy 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c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b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+39 02 316659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cr/>
                    </w:r>
                  </w:p>
                  <w:p w14:paraId="28260A20" w14:textId="77777777" w:rsidR="00EE0C6F" w:rsidRPr="00D4721A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65F28D1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Fiera Milano S.p.A.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1BADC6C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+39 02.4997.7134</w:t>
                    </w:r>
                  </w:p>
                  <w:p w14:paraId="74B05706" w14:textId="77777777" w:rsidR="00EE0C6F" w:rsidRPr="001A0E54" w:rsidRDefault="0075489A" w:rsidP="00EE0C6F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fieramilano@fieramilano.it</w:t>
                    </w:r>
                  </w:p>
                  <w:p w14:paraId="2C0775FF" w14:textId="77777777" w:rsidR="00EE0C6F" w:rsidRPr="001A0E54" w:rsidRDefault="00EE0C6F" w:rsidP="00EE0C6F">
                    <w:pPr>
                      <w:rPr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5" behindDoc="0" locked="0" layoutInCell="1" allowOverlap="1" wp14:anchorId="53FF1415" wp14:editId="7BB23E5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4ED38801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4" behindDoc="0" locked="0" layoutInCell="1" allowOverlap="1" wp14:anchorId="6106BEE6" wp14:editId="764A62B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66048222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6C004E11" wp14:editId="62BFDF14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907D4F" w14:textId="77777777" w:rsidR="00EE0C6F" w:rsidRPr="003A23A1" w:rsidRDefault="00EE0C6F" w:rsidP="00EE0C6F">
                          <w:pPr>
                            <w:rPr>
                              <w:b/>
                              <w:bCs/>
                              <w:color w:val="007656"/>
                              <w:sz w:val="24"/>
                              <w:szCs w:val="24"/>
                              <w:rFonts w:ascii="Arial" w:hAnsi="Arial" w:cs="Arial"/>
                            </w:rPr>
                          </w:pPr>
                          <w:r>
                            <w:rPr>
                              <w:b/>
                              <w:color w:val="007656"/>
                              <w:sz w:val="24"/>
                              <w:rFonts w:ascii="Arial" w:hAnsi="Arial"/>
                            </w:rPr>
                            <w:t xml:space="preserve"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04E11" id="Casella di testo 16" o:spid="_x0000_s1028" type="#_x0000_t202" style="position:absolute;left:0;text-align:left;margin-left:129.5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6A907D4F" w14:textId="77777777" w:rsidR="00EE0C6F" w:rsidRPr="003A23A1" w:rsidRDefault="00EE0C6F" w:rsidP="00EE0C6F">
                    <w:pPr>
                      <w:rPr>
                        <w:b/>
                        <w:bCs/>
                        <w:color w:val="007656"/>
                        <w:sz w:val="24"/>
                        <w:szCs w:val="2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24"/>
                        <w:rFonts w:ascii="Arial" w:hAnsi="Arial"/>
                      </w:rPr>
                      <w:t xml:space="preserve"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drawing>
        <wp:anchor distT="0" distB="0" distL="114300" distR="114300" simplePos="0" relativeHeight="251658241" behindDoc="0" locked="0" layoutInCell="1" allowOverlap="1" wp14:anchorId="75DDFAAC" wp14:editId="69CC4D35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958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6591123">
    <w:abstractNumId w:val="3"/>
  </w:num>
  <w:num w:numId="3" w16cid:durableId="1560898862">
    <w:abstractNumId w:val="1"/>
  </w:num>
  <w:num w:numId="4" w16cid:durableId="974335376">
    <w:abstractNumId w:val="2"/>
  </w:num>
  <w:num w:numId="5" w16cid:durableId="732197101">
    <w:abstractNumId w:val="4"/>
  </w:num>
  <w:num w:numId="6" w16cid:durableId="18890289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26A3"/>
    <w:rsid w:val="0000290F"/>
    <w:rsid w:val="000029D7"/>
    <w:rsid w:val="0000342F"/>
    <w:rsid w:val="00005708"/>
    <w:rsid w:val="00007DD3"/>
    <w:rsid w:val="00011B9B"/>
    <w:rsid w:val="0001200E"/>
    <w:rsid w:val="00012ABE"/>
    <w:rsid w:val="00014845"/>
    <w:rsid w:val="0001505C"/>
    <w:rsid w:val="0001649E"/>
    <w:rsid w:val="0001749D"/>
    <w:rsid w:val="00017685"/>
    <w:rsid w:val="00017848"/>
    <w:rsid w:val="000202A3"/>
    <w:rsid w:val="00020C36"/>
    <w:rsid w:val="0002408D"/>
    <w:rsid w:val="000254D7"/>
    <w:rsid w:val="0003358E"/>
    <w:rsid w:val="00034DAC"/>
    <w:rsid w:val="000352AD"/>
    <w:rsid w:val="0004089E"/>
    <w:rsid w:val="00042A66"/>
    <w:rsid w:val="00043E84"/>
    <w:rsid w:val="0004401B"/>
    <w:rsid w:val="00046244"/>
    <w:rsid w:val="0004786F"/>
    <w:rsid w:val="00047C5B"/>
    <w:rsid w:val="00047E84"/>
    <w:rsid w:val="0005338F"/>
    <w:rsid w:val="0006124D"/>
    <w:rsid w:val="00065B56"/>
    <w:rsid w:val="00070CBE"/>
    <w:rsid w:val="0007417A"/>
    <w:rsid w:val="000832D6"/>
    <w:rsid w:val="00084013"/>
    <w:rsid w:val="000842D1"/>
    <w:rsid w:val="00084A5D"/>
    <w:rsid w:val="00084DE4"/>
    <w:rsid w:val="00087DBC"/>
    <w:rsid w:val="00087E57"/>
    <w:rsid w:val="00091332"/>
    <w:rsid w:val="00093E37"/>
    <w:rsid w:val="0009680F"/>
    <w:rsid w:val="0009792F"/>
    <w:rsid w:val="000A2185"/>
    <w:rsid w:val="000A72B3"/>
    <w:rsid w:val="000B1152"/>
    <w:rsid w:val="000B2C5D"/>
    <w:rsid w:val="000B47D6"/>
    <w:rsid w:val="000C1A85"/>
    <w:rsid w:val="000C333E"/>
    <w:rsid w:val="000C3878"/>
    <w:rsid w:val="000D139A"/>
    <w:rsid w:val="000D52CB"/>
    <w:rsid w:val="000E1BF6"/>
    <w:rsid w:val="000E701E"/>
    <w:rsid w:val="000F1F51"/>
    <w:rsid w:val="000F2177"/>
    <w:rsid w:val="000F4822"/>
    <w:rsid w:val="000F511F"/>
    <w:rsid w:val="001020CE"/>
    <w:rsid w:val="001033D1"/>
    <w:rsid w:val="00106936"/>
    <w:rsid w:val="001074F0"/>
    <w:rsid w:val="00110531"/>
    <w:rsid w:val="00110DE2"/>
    <w:rsid w:val="001110C4"/>
    <w:rsid w:val="00111D98"/>
    <w:rsid w:val="001151C4"/>
    <w:rsid w:val="00116F71"/>
    <w:rsid w:val="00127577"/>
    <w:rsid w:val="00132E18"/>
    <w:rsid w:val="001344C4"/>
    <w:rsid w:val="00143F2E"/>
    <w:rsid w:val="00146309"/>
    <w:rsid w:val="00146E60"/>
    <w:rsid w:val="00155269"/>
    <w:rsid w:val="00156A22"/>
    <w:rsid w:val="0015788F"/>
    <w:rsid w:val="001578BC"/>
    <w:rsid w:val="00162274"/>
    <w:rsid w:val="0016274D"/>
    <w:rsid w:val="001639DA"/>
    <w:rsid w:val="00167556"/>
    <w:rsid w:val="00167A4B"/>
    <w:rsid w:val="001707A7"/>
    <w:rsid w:val="0017122C"/>
    <w:rsid w:val="00171A67"/>
    <w:rsid w:val="00174CA0"/>
    <w:rsid w:val="00174E96"/>
    <w:rsid w:val="00177707"/>
    <w:rsid w:val="00177D7D"/>
    <w:rsid w:val="0018195A"/>
    <w:rsid w:val="0018631E"/>
    <w:rsid w:val="001873B1"/>
    <w:rsid w:val="00191C85"/>
    <w:rsid w:val="00193140"/>
    <w:rsid w:val="00194E05"/>
    <w:rsid w:val="00195234"/>
    <w:rsid w:val="00197273"/>
    <w:rsid w:val="001A0E54"/>
    <w:rsid w:val="001A24F7"/>
    <w:rsid w:val="001A35A8"/>
    <w:rsid w:val="001A46CB"/>
    <w:rsid w:val="001A6CE7"/>
    <w:rsid w:val="001B254B"/>
    <w:rsid w:val="001B3A84"/>
    <w:rsid w:val="001B4A66"/>
    <w:rsid w:val="001B4C10"/>
    <w:rsid w:val="001B64BF"/>
    <w:rsid w:val="001C03D6"/>
    <w:rsid w:val="001C04B9"/>
    <w:rsid w:val="001C1768"/>
    <w:rsid w:val="001C1BAB"/>
    <w:rsid w:val="001C37C3"/>
    <w:rsid w:val="001C39DE"/>
    <w:rsid w:val="001C77F2"/>
    <w:rsid w:val="001D10E6"/>
    <w:rsid w:val="001D434E"/>
    <w:rsid w:val="001E005D"/>
    <w:rsid w:val="001E0E0F"/>
    <w:rsid w:val="001E120E"/>
    <w:rsid w:val="001E127B"/>
    <w:rsid w:val="001E1954"/>
    <w:rsid w:val="001E3C31"/>
    <w:rsid w:val="001E6402"/>
    <w:rsid w:val="001E6479"/>
    <w:rsid w:val="001E6FC7"/>
    <w:rsid w:val="001E717E"/>
    <w:rsid w:val="001F17F2"/>
    <w:rsid w:val="001F2142"/>
    <w:rsid w:val="001F5081"/>
    <w:rsid w:val="001F6502"/>
    <w:rsid w:val="001F71C7"/>
    <w:rsid w:val="00200A34"/>
    <w:rsid w:val="00201F7A"/>
    <w:rsid w:val="002028EE"/>
    <w:rsid w:val="00203AF9"/>
    <w:rsid w:val="00207F06"/>
    <w:rsid w:val="00211A87"/>
    <w:rsid w:val="00213983"/>
    <w:rsid w:val="0021489F"/>
    <w:rsid w:val="002158BB"/>
    <w:rsid w:val="0021679E"/>
    <w:rsid w:val="002170A7"/>
    <w:rsid w:val="00223FAC"/>
    <w:rsid w:val="00227255"/>
    <w:rsid w:val="00235882"/>
    <w:rsid w:val="0024359C"/>
    <w:rsid w:val="0024369E"/>
    <w:rsid w:val="00243DD0"/>
    <w:rsid w:val="00247962"/>
    <w:rsid w:val="00250F9B"/>
    <w:rsid w:val="00253C5D"/>
    <w:rsid w:val="00254C75"/>
    <w:rsid w:val="002574C3"/>
    <w:rsid w:val="002613B4"/>
    <w:rsid w:val="0026284A"/>
    <w:rsid w:val="0026517A"/>
    <w:rsid w:val="00267828"/>
    <w:rsid w:val="00267F10"/>
    <w:rsid w:val="002731E1"/>
    <w:rsid w:val="0027374E"/>
    <w:rsid w:val="002809B9"/>
    <w:rsid w:val="002902D2"/>
    <w:rsid w:val="0029202D"/>
    <w:rsid w:val="00292ABD"/>
    <w:rsid w:val="00297B79"/>
    <w:rsid w:val="002A3165"/>
    <w:rsid w:val="002A516B"/>
    <w:rsid w:val="002B09A5"/>
    <w:rsid w:val="002B0CA4"/>
    <w:rsid w:val="002B1A5C"/>
    <w:rsid w:val="002C2A24"/>
    <w:rsid w:val="002C32A8"/>
    <w:rsid w:val="002C6EA9"/>
    <w:rsid w:val="002D06C1"/>
    <w:rsid w:val="002D0E3F"/>
    <w:rsid w:val="002D1361"/>
    <w:rsid w:val="002D3B59"/>
    <w:rsid w:val="002D6A6F"/>
    <w:rsid w:val="002D7A85"/>
    <w:rsid w:val="002E0563"/>
    <w:rsid w:val="002E5B45"/>
    <w:rsid w:val="002F44CB"/>
    <w:rsid w:val="002F583D"/>
    <w:rsid w:val="002F5BE6"/>
    <w:rsid w:val="002F73D3"/>
    <w:rsid w:val="00301F03"/>
    <w:rsid w:val="00302EA7"/>
    <w:rsid w:val="00303D33"/>
    <w:rsid w:val="00304811"/>
    <w:rsid w:val="0031665D"/>
    <w:rsid w:val="0032196B"/>
    <w:rsid w:val="00323187"/>
    <w:rsid w:val="003237C1"/>
    <w:rsid w:val="00324E32"/>
    <w:rsid w:val="00327743"/>
    <w:rsid w:val="00330E49"/>
    <w:rsid w:val="00335534"/>
    <w:rsid w:val="003443B0"/>
    <w:rsid w:val="0034531C"/>
    <w:rsid w:val="0035653A"/>
    <w:rsid w:val="003575BE"/>
    <w:rsid w:val="00360111"/>
    <w:rsid w:val="003702B0"/>
    <w:rsid w:val="00374EE0"/>
    <w:rsid w:val="003768A5"/>
    <w:rsid w:val="003776A4"/>
    <w:rsid w:val="00380CD3"/>
    <w:rsid w:val="00381611"/>
    <w:rsid w:val="003816D6"/>
    <w:rsid w:val="00383D89"/>
    <w:rsid w:val="00384D63"/>
    <w:rsid w:val="003907EB"/>
    <w:rsid w:val="00394FCD"/>
    <w:rsid w:val="00395A62"/>
    <w:rsid w:val="0039615D"/>
    <w:rsid w:val="003A23A1"/>
    <w:rsid w:val="003A5D47"/>
    <w:rsid w:val="003A6272"/>
    <w:rsid w:val="003A6A3C"/>
    <w:rsid w:val="003B18A1"/>
    <w:rsid w:val="003B3C0C"/>
    <w:rsid w:val="003B45A0"/>
    <w:rsid w:val="003B4BCF"/>
    <w:rsid w:val="003B5B65"/>
    <w:rsid w:val="003C3770"/>
    <w:rsid w:val="003C6AED"/>
    <w:rsid w:val="003D043E"/>
    <w:rsid w:val="003D1C92"/>
    <w:rsid w:val="003D738A"/>
    <w:rsid w:val="003E37AC"/>
    <w:rsid w:val="003E394F"/>
    <w:rsid w:val="003E6E53"/>
    <w:rsid w:val="003E7A4B"/>
    <w:rsid w:val="003F1275"/>
    <w:rsid w:val="003F206F"/>
    <w:rsid w:val="003F2B86"/>
    <w:rsid w:val="003F3112"/>
    <w:rsid w:val="003F7461"/>
    <w:rsid w:val="0040212B"/>
    <w:rsid w:val="004153E5"/>
    <w:rsid w:val="004172C6"/>
    <w:rsid w:val="004208A0"/>
    <w:rsid w:val="004214F0"/>
    <w:rsid w:val="004233C9"/>
    <w:rsid w:val="00423FC8"/>
    <w:rsid w:val="0042491F"/>
    <w:rsid w:val="00426289"/>
    <w:rsid w:val="00427778"/>
    <w:rsid w:val="00431A4D"/>
    <w:rsid w:val="00432F5E"/>
    <w:rsid w:val="00436709"/>
    <w:rsid w:val="00436A17"/>
    <w:rsid w:val="00440D57"/>
    <w:rsid w:val="004416E5"/>
    <w:rsid w:val="0044390B"/>
    <w:rsid w:val="00444314"/>
    <w:rsid w:val="004455F8"/>
    <w:rsid w:val="00456C15"/>
    <w:rsid w:val="00457A65"/>
    <w:rsid w:val="004622D7"/>
    <w:rsid w:val="00462DC3"/>
    <w:rsid w:val="00464271"/>
    <w:rsid w:val="00466038"/>
    <w:rsid w:val="00466924"/>
    <w:rsid w:val="0047037C"/>
    <w:rsid w:val="00472262"/>
    <w:rsid w:val="00481B61"/>
    <w:rsid w:val="00482C73"/>
    <w:rsid w:val="00483977"/>
    <w:rsid w:val="00486DEC"/>
    <w:rsid w:val="004874AA"/>
    <w:rsid w:val="00493043"/>
    <w:rsid w:val="00494297"/>
    <w:rsid w:val="00495B10"/>
    <w:rsid w:val="00497002"/>
    <w:rsid w:val="004972B6"/>
    <w:rsid w:val="004A6AB7"/>
    <w:rsid w:val="004B2699"/>
    <w:rsid w:val="004B2A34"/>
    <w:rsid w:val="004B426B"/>
    <w:rsid w:val="004B63A0"/>
    <w:rsid w:val="004B670F"/>
    <w:rsid w:val="004C29F2"/>
    <w:rsid w:val="004C6EC1"/>
    <w:rsid w:val="004D44E2"/>
    <w:rsid w:val="004D4E51"/>
    <w:rsid w:val="004D5EA8"/>
    <w:rsid w:val="004E6ED7"/>
    <w:rsid w:val="004E6FE5"/>
    <w:rsid w:val="004F2763"/>
    <w:rsid w:val="004F42F1"/>
    <w:rsid w:val="004F6982"/>
    <w:rsid w:val="0050036A"/>
    <w:rsid w:val="0050038A"/>
    <w:rsid w:val="005005FF"/>
    <w:rsid w:val="005009AD"/>
    <w:rsid w:val="00501EAA"/>
    <w:rsid w:val="00502D02"/>
    <w:rsid w:val="005044FA"/>
    <w:rsid w:val="00511924"/>
    <w:rsid w:val="00511A34"/>
    <w:rsid w:val="00513FBD"/>
    <w:rsid w:val="005150A4"/>
    <w:rsid w:val="005158F1"/>
    <w:rsid w:val="00516F6A"/>
    <w:rsid w:val="0052189A"/>
    <w:rsid w:val="00521F1C"/>
    <w:rsid w:val="00524227"/>
    <w:rsid w:val="005242F4"/>
    <w:rsid w:val="005243C4"/>
    <w:rsid w:val="00533670"/>
    <w:rsid w:val="005440BE"/>
    <w:rsid w:val="005556EF"/>
    <w:rsid w:val="00556766"/>
    <w:rsid w:val="00560CB0"/>
    <w:rsid w:val="0056416D"/>
    <w:rsid w:val="00566538"/>
    <w:rsid w:val="00566685"/>
    <w:rsid w:val="00566B44"/>
    <w:rsid w:val="0056756E"/>
    <w:rsid w:val="005679BE"/>
    <w:rsid w:val="0057125A"/>
    <w:rsid w:val="0057142E"/>
    <w:rsid w:val="00572079"/>
    <w:rsid w:val="00572E0B"/>
    <w:rsid w:val="00575C52"/>
    <w:rsid w:val="00577FCF"/>
    <w:rsid w:val="00581744"/>
    <w:rsid w:val="005817AA"/>
    <w:rsid w:val="0058376E"/>
    <w:rsid w:val="005842B1"/>
    <w:rsid w:val="005902C8"/>
    <w:rsid w:val="005910DD"/>
    <w:rsid w:val="00593434"/>
    <w:rsid w:val="00595652"/>
    <w:rsid w:val="00595EFD"/>
    <w:rsid w:val="0059604E"/>
    <w:rsid w:val="0059666E"/>
    <w:rsid w:val="00596BD8"/>
    <w:rsid w:val="005A1533"/>
    <w:rsid w:val="005A2006"/>
    <w:rsid w:val="005A2830"/>
    <w:rsid w:val="005A29F3"/>
    <w:rsid w:val="005A7F22"/>
    <w:rsid w:val="005B73C5"/>
    <w:rsid w:val="005B7B51"/>
    <w:rsid w:val="005D1045"/>
    <w:rsid w:val="005D1C69"/>
    <w:rsid w:val="005E0EF9"/>
    <w:rsid w:val="005E241F"/>
    <w:rsid w:val="005E2B4F"/>
    <w:rsid w:val="005E2E1D"/>
    <w:rsid w:val="005E4F41"/>
    <w:rsid w:val="005F1766"/>
    <w:rsid w:val="005F3E32"/>
    <w:rsid w:val="005F4C01"/>
    <w:rsid w:val="0060123B"/>
    <w:rsid w:val="00602A7D"/>
    <w:rsid w:val="00602DA0"/>
    <w:rsid w:val="0060634D"/>
    <w:rsid w:val="00607C25"/>
    <w:rsid w:val="006115CD"/>
    <w:rsid w:val="00611EEA"/>
    <w:rsid w:val="00616386"/>
    <w:rsid w:val="00616A11"/>
    <w:rsid w:val="0062252C"/>
    <w:rsid w:val="00631731"/>
    <w:rsid w:val="00632169"/>
    <w:rsid w:val="0063353A"/>
    <w:rsid w:val="006351B1"/>
    <w:rsid w:val="006361D5"/>
    <w:rsid w:val="0064049B"/>
    <w:rsid w:val="006438FC"/>
    <w:rsid w:val="006467E8"/>
    <w:rsid w:val="00647267"/>
    <w:rsid w:val="00650C72"/>
    <w:rsid w:val="006552E6"/>
    <w:rsid w:val="00661206"/>
    <w:rsid w:val="00662759"/>
    <w:rsid w:val="00667D0A"/>
    <w:rsid w:val="00670C39"/>
    <w:rsid w:val="00672FBE"/>
    <w:rsid w:val="0067609A"/>
    <w:rsid w:val="0067715A"/>
    <w:rsid w:val="0068224E"/>
    <w:rsid w:val="00686062"/>
    <w:rsid w:val="00693FDB"/>
    <w:rsid w:val="006940A2"/>
    <w:rsid w:val="00695D1D"/>
    <w:rsid w:val="006966E3"/>
    <w:rsid w:val="006A0888"/>
    <w:rsid w:val="006A3E9E"/>
    <w:rsid w:val="006A762F"/>
    <w:rsid w:val="006B6E37"/>
    <w:rsid w:val="006C11F3"/>
    <w:rsid w:val="006C13B9"/>
    <w:rsid w:val="006C1FA2"/>
    <w:rsid w:val="006C5733"/>
    <w:rsid w:val="006C7B1B"/>
    <w:rsid w:val="006C7BF5"/>
    <w:rsid w:val="006D0135"/>
    <w:rsid w:val="006D3D8B"/>
    <w:rsid w:val="006E0620"/>
    <w:rsid w:val="006E1A5C"/>
    <w:rsid w:val="006E3C99"/>
    <w:rsid w:val="006E6890"/>
    <w:rsid w:val="006F1CAB"/>
    <w:rsid w:val="006F1EBD"/>
    <w:rsid w:val="006F4E8A"/>
    <w:rsid w:val="006F7F0C"/>
    <w:rsid w:val="00700CB8"/>
    <w:rsid w:val="007070CE"/>
    <w:rsid w:val="007079FA"/>
    <w:rsid w:val="00707B9D"/>
    <w:rsid w:val="0071010F"/>
    <w:rsid w:val="00710148"/>
    <w:rsid w:val="007117E3"/>
    <w:rsid w:val="00714941"/>
    <w:rsid w:val="00717919"/>
    <w:rsid w:val="0072091D"/>
    <w:rsid w:val="0072558F"/>
    <w:rsid w:val="00733117"/>
    <w:rsid w:val="007336FD"/>
    <w:rsid w:val="007354DD"/>
    <w:rsid w:val="00736999"/>
    <w:rsid w:val="007374EC"/>
    <w:rsid w:val="0074012B"/>
    <w:rsid w:val="00750108"/>
    <w:rsid w:val="007526F1"/>
    <w:rsid w:val="00753115"/>
    <w:rsid w:val="00753D69"/>
    <w:rsid w:val="0075489A"/>
    <w:rsid w:val="0075580F"/>
    <w:rsid w:val="00757F92"/>
    <w:rsid w:val="00763AEC"/>
    <w:rsid w:val="007642D2"/>
    <w:rsid w:val="00765F82"/>
    <w:rsid w:val="00766A7A"/>
    <w:rsid w:val="007679E1"/>
    <w:rsid w:val="00767FFC"/>
    <w:rsid w:val="00770182"/>
    <w:rsid w:val="007714FD"/>
    <w:rsid w:val="007721A9"/>
    <w:rsid w:val="00772BDB"/>
    <w:rsid w:val="0077477E"/>
    <w:rsid w:val="00775220"/>
    <w:rsid w:val="00775C82"/>
    <w:rsid w:val="007778FC"/>
    <w:rsid w:val="00781F90"/>
    <w:rsid w:val="0078462C"/>
    <w:rsid w:val="00784D42"/>
    <w:rsid w:val="0078607D"/>
    <w:rsid w:val="00787075"/>
    <w:rsid w:val="00787870"/>
    <w:rsid w:val="007950FC"/>
    <w:rsid w:val="007974C6"/>
    <w:rsid w:val="007A1D5B"/>
    <w:rsid w:val="007A6B99"/>
    <w:rsid w:val="007A6F7D"/>
    <w:rsid w:val="007A7800"/>
    <w:rsid w:val="007A7DAC"/>
    <w:rsid w:val="007B060F"/>
    <w:rsid w:val="007B0D4E"/>
    <w:rsid w:val="007B4037"/>
    <w:rsid w:val="007B4A8A"/>
    <w:rsid w:val="007C27BD"/>
    <w:rsid w:val="007C5F3E"/>
    <w:rsid w:val="007C7C94"/>
    <w:rsid w:val="007D2036"/>
    <w:rsid w:val="007D743F"/>
    <w:rsid w:val="007E02C3"/>
    <w:rsid w:val="007E456C"/>
    <w:rsid w:val="007E4ADB"/>
    <w:rsid w:val="007F0074"/>
    <w:rsid w:val="007F16FB"/>
    <w:rsid w:val="007F76AC"/>
    <w:rsid w:val="008057C6"/>
    <w:rsid w:val="008058AC"/>
    <w:rsid w:val="008063C1"/>
    <w:rsid w:val="00810A06"/>
    <w:rsid w:val="00810B6B"/>
    <w:rsid w:val="00813A5E"/>
    <w:rsid w:val="0081604F"/>
    <w:rsid w:val="008160B8"/>
    <w:rsid w:val="00823EAC"/>
    <w:rsid w:val="00831F99"/>
    <w:rsid w:val="0083257A"/>
    <w:rsid w:val="00835390"/>
    <w:rsid w:val="00840C4E"/>
    <w:rsid w:val="00847549"/>
    <w:rsid w:val="0085084D"/>
    <w:rsid w:val="00852A74"/>
    <w:rsid w:val="00862015"/>
    <w:rsid w:val="0086227A"/>
    <w:rsid w:val="0086250B"/>
    <w:rsid w:val="00863843"/>
    <w:rsid w:val="0087184C"/>
    <w:rsid w:val="00873938"/>
    <w:rsid w:val="00873C0C"/>
    <w:rsid w:val="00874DFB"/>
    <w:rsid w:val="008832BB"/>
    <w:rsid w:val="008866D3"/>
    <w:rsid w:val="00886937"/>
    <w:rsid w:val="00887F4B"/>
    <w:rsid w:val="0089323D"/>
    <w:rsid w:val="0089343C"/>
    <w:rsid w:val="0089446C"/>
    <w:rsid w:val="008A377A"/>
    <w:rsid w:val="008A4FD4"/>
    <w:rsid w:val="008A7E05"/>
    <w:rsid w:val="008B00CB"/>
    <w:rsid w:val="008B3B22"/>
    <w:rsid w:val="008B67E9"/>
    <w:rsid w:val="008B7306"/>
    <w:rsid w:val="008C3289"/>
    <w:rsid w:val="008C3692"/>
    <w:rsid w:val="008C4378"/>
    <w:rsid w:val="008C799E"/>
    <w:rsid w:val="008D1C5A"/>
    <w:rsid w:val="008D1CA7"/>
    <w:rsid w:val="008D512D"/>
    <w:rsid w:val="008E1F41"/>
    <w:rsid w:val="008E2D03"/>
    <w:rsid w:val="008E49AB"/>
    <w:rsid w:val="008F5156"/>
    <w:rsid w:val="00900890"/>
    <w:rsid w:val="00900944"/>
    <w:rsid w:val="00911630"/>
    <w:rsid w:val="009131E2"/>
    <w:rsid w:val="00920718"/>
    <w:rsid w:val="00921EBF"/>
    <w:rsid w:val="009242B5"/>
    <w:rsid w:val="00925D37"/>
    <w:rsid w:val="00926D9A"/>
    <w:rsid w:val="0092720A"/>
    <w:rsid w:val="009360D5"/>
    <w:rsid w:val="00940636"/>
    <w:rsid w:val="00941DAF"/>
    <w:rsid w:val="00943357"/>
    <w:rsid w:val="00953C37"/>
    <w:rsid w:val="00955078"/>
    <w:rsid w:val="009550D1"/>
    <w:rsid w:val="00962CC4"/>
    <w:rsid w:val="00965CDF"/>
    <w:rsid w:val="009678CB"/>
    <w:rsid w:val="00967FCC"/>
    <w:rsid w:val="009702B3"/>
    <w:rsid w:val="00970F57"/>
    <w:rsid w:val="00971BA7"/>
    <w:rsid w:val="00980818"/>
    <w:rsid w:val="009944DA"/>
    <w:rsid w:val="009953B4"/>
    <w:rsid w:val="009A0B13"/>
    <w:rsid w:val="009A2D3B"/>
    <w:rsid w:val="009A3CA6"/>
    <w:rsid w:val="009B53AB"/>
    <w:rsid w:val="009B63E4"/>
    <w:rsid w:val="009B6F01"/>
    <w:rsid w:val="009B7033"/>
    <w:rsid w:val="009B739C"/>
    <w:rsid w:val="009B7D23"/>
    <w:rsid w:val="009C0ACF"/>
    <w:rsid w:val="009C0D9E"/>
    <w:rsid w:val="009C141E"/>
    <w:rsid w:val="009C599F"/>
    <w:rsid w:val="009C6F3C"/>
    <w:rsid w:val="009C7399"/>
    <w:rsid w:val="009D1E0A"/>
    <w:rsid w:val="009D2566"/>
    <w:rsid w:val="009D461D"/>
    <w:rsid w:val="009D5299"/>
    <w:rsid w:val="009D5A0D"/>
    <w:rsid w:val="009E58DC"/>
    <w:rsid w:val="009E64B9"/>
    <w:rsid w:val="009E7A16"/>
    <w:rsid w:val="009F0781"/>
    <w:rsid w:val="009F65A9"/>
    <w:rsid w:val="009F787B"/>
    <w:rsid w:val="009F7C40"/>
    <w:rsid w:val="00A023F0"/>
    <w:rsid w:val="00A058B2"/>
    <w:rsid w:val="00A10A9A"/>
    <w:rsid w:val="00A1156A"/>
    <w:rsid w:val="00A116F3"/>
    <w:rsid w:val="00A13092"/>
    <w:rsid w:val="00A133A6"/>
    <w:rsid w:val="00A2136C"/>
    <w:rsid w:val="00A237BE"/>
    <w:rsid w:val="00A25B44"/>
    <w:rsid w:val="00A30EEC"/>
    <w:rsid w:val="00A372E2"/>
    <w:rsid w:val="00A40A88"/>
    <w:rsid w:val="00A42C48"/>
    <w:rsid w:val="00A448C6"/>
    <w:rsid w:val="00A44BF6"/>
    <w:rsid w:val="00A4663B"/>
    <w:rsid w:val="00A51786"/>
    <w:rsid w:val="00A54AD2"/>
    <w:rsid w:val="00A57214"/>
    <w:rsid w:val="00A572B2"/>
    <w:rsid w:val="00A57961"/>
    <w:rsid w:val="00A6331E"/>
    <w:rsid w:val="00A65156"/>
    <w:rsid w:val="00A65364"/>
    <w:rsid w:val="00A71B2A"/>
    <w:rsid w:val="00A74AD4"/>
    <w:rsid w:val="00A76284"/>
    <w:rsid w:val="00A767CD"/>
    <w:rsid w:val="00A815D1"/>
    <w:rsid w:val="00A85C1F"/>
    <w:rsid w:val="00A86847"/>
    <w:rsid w:val="00A906BA"/>
    <w:rsid w:val="00A9223D"/>
    <w:rsid w:val="00A9241B"/>
    <w:rsid w:val="00A93B4E"/>
    <w:rsid w:val="00A9585D"/>
    <w:rsid w:val="00AA1297"/>
    <w:rsid w:val="00AA1D18"/>
    <w:rsid w:val="00AA4C5E"/>
    <w:rsid w:val="00AA6572"/>
    <w:rsid w:val="00AA770A"/>
    <w:rsid w:val="00AB1AFB"/>
    <w:rsid w:val="00AB260C"/>
    <w:rsid w:val="00AB2C5D"/>
    <w:rsid w:val="00AB41D6"/>
    <w:rsid w:val="00AB47E5"/>
    <w:rsid w:val="00AB68E4"/>
    <w:rsid w:val="00AC18E1"/>
    <w:rsid w:val="00AC1923"/>
    <w:rsid w:val="00AC531A"/>
    <w:rsid w:val="00AC626B"/>
    <w:rsid w:val="00AC6ACD"/>
    <w:rsid w:val="00AD129D"/>
    <w:rsid w:val="00AE120F"/>
    <w:rsid w:val="00AE5A33"/>
    <w:rsid w:val="00AE5AC3"/>
    <w:rsid w:val="00AE5D8A"/>
    <w:rsid w:val="00AE605F"/>
    <w:rsid w:val="00AE73DA"/>
    <w:rsid w:val="00AE779B"/>
    <w:rsid w:val="00AF1993"/>
    <w:rsid w:val="00AF748A"/>
    <w:rsid w:val="00B002EA"/>
    <w:rsid w:val="00B0579E"/>
    <w:rsid w:val="00B07051"/>
    <w:rsid w:val="00B119A8"/>
    <w:rsid w:val="00B1339B"/>
    <w:rsid w:val="00B155DA"/>
    <w:rsid w:val="00B177FC"/>
    <w:rsid w:val="00B245E8"/>
    <w:rsid w:val="00B310A5"/>
    <w:rsid w:val="00B31A3F"/>
    <w:rsid w:val="00B34271"/>
    <w:rsid w:val="00B35BCD"/>
    <w:rsid w:val="00B3616C"/>
    <w:rsid w:val="00B368F0"/>
    <w:rsid w:val="00B36E1B"/>
    <w:rsid w:val="00B4005D"/>
    <w:rsid w:val="00B40230"/>
    <w:rsid w:val="00B4087F"/>
    <w:rsid w:val="00B40AA5"/>
    <w:rsid w:val="00B41D21"/>
    <w:rsid w:val="00B42268"/>
    <w:rsid w:val="00B44294"/>
    <w:rsid w:val="00B44EE2"/>
    <w:rsid w:val="00B4528A"/>
    <w:rsid w:val="00B45CFD"/>
    <w:rsid w:val="00B52E67"/>
    <w:rsid w:val="00B533DB"/>
    <w:rsid w:val="00B53FE5"/>
    <w:rsid w:val="00B55198"/>
    <w:rsid w:val="00B57B09"/>
    <w:rsid w:val="00B60B8E"/>
    <w:rsid w:val="00B60CD1"/>
    <w:rsid w:val="00B63851"/>
    <w:rsid w:val="00B65B8D"/>
    <w:rsid w:val="00B808C0"/>
    <w:rsid w:val="00B81145"/>
    <w:rsid w:val="00B813A0"/>
    <w:rsid w:val="00B840B7"/>
    <w:rsid w:val="00B84C6F"/>
    <w:rsid w:val="00B84CFC"/>
    <w:rsid w:val="00B91D86"/>
    <w:rsid w:val="00BA49BA"/>
    <w:rsid w:val="00BA738D"/>
    <w:rsid w:val="00BA7A60"/>
    <w:rsid w:val="00BB1E1B"/>
    <w:rsid w:val="00BB233B"/>
    <w:rsid w:val="00BB29AC"/>
    <w:rsid w:val="00BB7562"/>
    <w:rsid w:val="00BC7561"/>
    <w:rsid w:val="00BD0D44"/>
    <w:rsid w:val="00BD72F0"/>
    <w:rsid w:val="00BE185A"/>
    <w:rsid w:val="00BE1AE6"/>
    <w:rsid w:val="00BE2903"/>
    <w:rsid w:val="00BE48C5"/>
    <w:rsid w:val="00BF1A47"/>
    <w:rsid w:val="00BF2876"/>
    <w:rsid w:val="00BF2FEA"/>
    <w:rsid w:val="00BF3D01"/>
    <w:rsid w:val="00C05B34"/>
    <w:rsid w:val="00C0778E"/>
    <w:rsid w:val="00C15ED9"/>
    <w:rsid w:val="00C17DDA"/>
    <w:rsid w:val="00C21817"/>
    <w:rsid w:val="00C22BF5"/>
    <w:rsid w:val="00C25A39"/>
    <w:rsid w:val="00C2696B"/>
    <w:rsid w:val="00C277AF"/>
    <w:rsid w:val="00C3254B"/>
    <w:rsid w:val="00C342DE"/>
    <w:rsid w:val="00C35A6E"/>
    <w:rsid w:val="00C35AFB"/>
    <w:rsid w:val="00C37991"/>
    <w:rsid w:val="00C37AE5"/>
    <w:rsid w:val="00C37BC0"/>
    <w:rsid w:val="00C42671"/>
    <w:rsid w:val="00C53BD3"/>
    <w:rsid w:val="00C555D5"/>
    <w:rsid w:val="00C56DD8"/>
    <w:rsid w:val="00C579F7"/>
    <w:rsid w:val="00C60684"/>
    <w:rsid w:val="00C612B5"/>
    <w:rsid w:val="00C61B20"/>
    <w:rsid w:val="00C61E61"/>
    <w:rsid w:val="00C64B8D"/>
    <w:rsid w:val="00C76629"/>
    <w:rsid w:val="00C80D0A"/>
    <w:rsid w:val="00C843C9"/>
    <w:rsid w:val="00C86810"/>
    <w:rsid w:val="00C911B3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B31"/>
    <w:rsid w:val="00C97566"/>
    <w:rsid w:val="00CA30D2"/>
    <w:rsid w:val="00CA4CED"/>
    <w:rsid w:val="00CA7A11"/>
    <w:rsid w:val="00CB06CA"/>
    <w:rsid w:val="00CB117C"/>
    <w:rsid w:val="00CB7BC9"/>
    <w:rsid w:val="00CC7027"/>
    <w:rsid w:val="00CD0181"/>
    <w:rsid w:val="00CD7DC9"/>
    <w:rsid w:val="00CF1908"/>
    <w:rsid w:val="00CF21B6"/>
    <w:rsid w:val="00D01367"/>
    <w:rsid w:val="00D04F79"/>
    <w:rsid w:val="00D1450B"/>
    <w:rsid w:val="00D155A7"/>
    <w:rsid w:val="00D2288A"/>
    <w:rsid w:val="00D22F07"/>
    <w:rsid w:val="00D255FC"/>
    <w:rsid w:val="00D26665"/>
    <w:rsid w:val="00D26FF9"/>
    <w:rsid w:val="00D273F2"/>
    <w:rsid w:val="00D3003B"/>
    <w:rsid w:val="00D30C42"/>
    <w:rsid w:val="00D32073"/>
    <w:rsid w:val="00D36631"/>
    <w:rsid w:val="00D403CB"/>
    <w:rsid w:val="00D4721A"/>
    <w:rsid w:val="00D5015D"/>
    <w:rsid w:val="00D521CB"/>
    <w:rsid w:val="00D5240A"/>
    <w:rsid w:val="00D527BB"/>
    <w:rsid w:val="00D60638"/>
    <w:rsid w:val="00D64BE0"/>
    <w:rsid w:val="00D7097D"/>
    <w:rsid w:val="00D71EC4"/>
    <w:rsid w:val="00D72384"/>
    <w:rsid w:val="00D736CA"/>
    <w:rsid w:val="00D73FA7"/>
    <w:rsid w:val="00D741AC"/>
    <w:rsid w:val="00D772F1"/>
    <w:rsid w:val="00D807CD"/>
    <w:rsid w:val="00D864AF"/>
    <w:rsid w:val="00D87BC9"/>
    <w:rsid w:val="00D926FD"/>
    <w:rsid w:val="00D92818"/>
    <w:rsid w:val="00D93635"/>
    <w:rsid w:val="00D945DD"/>
    <w:rsid w:val="00D94FEE"/>
    <w:rsid w:val="00D951E1"/>
    <w:rsid w:val="00D95355"/>
    <w:rsid w:val="00D95D8A"/>
    <w:rsid w:val="00DA0A44"/>
    <w:rsid w:val="00DA0DC9"/>
    <w:rsid w:val="00DA13E1"/>
    <w:rsid w:val="00DB2617"/>
    <w:rsid w:val="00DB4D0A"/>
    <w:rsid w:val="00DC40C8"/>
    <w:rsid w:val="00DC5E44"/>
    <w:rsid w:val="00DD2A4D"/>
    <w:rsid w:val="00DD2CCD"/>
    <w:rsid w:val="00DD4823"/>
    <w:rsid w:val="00DE1222"/>
    <w:rsid w:val="00DE5AF1"/>
    <w:rsid w:val="00DE65C0"/>
    <w:rsid w:val="00DE68D4"/>
    <w:rsid w:val="00DE70EC"/>
    <w:rsid w:val="00DF196B"/>
    <w:rsid w:val="00DF6A26"/>
    <w:rsid w:val="00DF7AE4"/>
    <w:rsid w:val="00E0098F"/>
    <w:rsid w:val="00E05CB5"/>
    <w:rsid w:val="00E07355"/>
    <w:rsid w:val="00E07E99"/>
    <w:rsid w:val="00E10E56"/>
    <w:rsid w:val="00E15A14"/>
    <w:rsid w:val="00E16B67"/>
    <w:rsid w:val="00E170B2"/>
    <w:rsid w:val="00E173D1"/>
    <w:rsid w:val="00E218EE"/>
    <w:rsid w:val="00E24744"/>
    <w:rsid w:val="00E25E4F"/>
    <w:rsid w:val="00E25F16"/>
    <w:rsid w:val="00E26581"/>
    <w:rsid w:val="00E30260"/>
    <w:rsid w:val="00E3091B"/>
    <w:rsid w:val="00E32348"/>
    <w:rsid w:val="00E350D0"/>
    <w:rsid w:val="00E35F04"/>
    <w:rsid w:val="00E37BD4"/>
    <w:rsid w:val="00E42DE3"/>
    <w:rsid w:val="00E475B0"/>
    <w:rsid w:val="00E53899"/>
    <w:rsid w:val="00E556C9"/>
    <w:rsid w:val="00E566E4"/>
    <w:rsid w:val="00E56AD2"/>
    <w:rsid w:val="00E60085"/>
    <w:rsid w:val="00E61566"/>
    <w:rsid w:val="00E6195C"/>
    <w:rsid w:val="00E66149"/>
    <w:rsid w:val="00E755BF"/>
    <w:rsid w:val="00E807F9"/>
    <w:rsid w:val="00E826B2"/>
    <w:rsid w:val="00E82891"/>
    <w:rsid w:val="00E835FA"/>
    <w:rsid w:val="00E9088E"/>
    <w:rsid w:val="00E929D2"/>
    <w:rsid w:val="00E9453C"/>
    <w:rsid w:val="00E95AF6"/>
    <w:rsid w:val="00EA3C97"/>
    <w:rsid w:val="00EA5187"/>
    <w:rsid w:val="00EA5BF8"/>
    <w:rsid w:val="00EA6007"/>
    <w:rsid w:val="00EB19EC"/>
    <w:rsid w:val="00EB6670"/>
    <w:rsid w:val="00EC0C6B"/>
    <w:rsid w:val="00EC1A89"/>
    <w:rsid w:val="00EC258E"/>
    <w:rsid w:val="00ED58F0"/>
    <w:rsid w:val="00ED773B"/>
    <w:rsid w:val="00EE0C6F"/>
    <w:rsid w:val="00EE387A"/>
    <w:rsid w:val="00EE534B"/>
    <w:rsid w:val="00EE67E3"/>
    <w:rsid w:val="00EE6FC1"/>
    <w:rsid w:val="00EF02A2"/>
    <w:rsid w:val="00EF29E1"/>
    <w:rsid w:val="00EF356C"/>
    <w:rsid w:val="00F01A86"/>
    <w:rsid w:val="00F027A9"/>
    <w:rsid w:val="00F02EEE"/>
    <w:rsid w:val="00F04050"/>
    <w:rsid w:val="00F07CCB"/>
    <w:rsid w:val="00F10546"/>
    <w:rsid w:val="00F156CA"/>
    <w:rsid w:val="00F15B1D"/>
    <w:rsid w:val="00F1705C"/>
    <w:rsid w:val="00F21CB1"/>
    <w:rsid w:val="00F227B2"/>
    <w:rsid w:val="00F248AB"/>
    <w:rsid w:val="00F34103"/>
    <w:rsid w:val="00F3480D"/>
    <w:rsid w:val="00F41A96"/>
    <w:rsid w:val="00F421DE"/>
    <w:rsid w:val="00F571D5"/>
    <w:rsid w:val="00F57569"/>
    <w:rsid w:val="00F60709"/>
    <w:rsid w:val="00F60721"/>
    <w:rsid w:val="00F63E0E"/>
    <w:rsid w:val="00F70E1E"/>
    <w:rsid w:val="00F731C6"/>
    <w:rsid w:val="00F74564"/>
    <w:rsid w:val="00F74B3D"/>
    <w:rsid w:val="00F74E2D"/>
    <w:rsid w:val="00F767A6"/>
    <w:rsid w:val="00F76911"/>
    <w:rsid w:val="00F773C9"/>
    <w:rsid w:val="00F77905"/>
    <w:rsid w:val="00F81F10"/>
    <w:rsid w:val="00F82BA6"/>
    <w:rsid w:val="00F86D2A"/>
    <w:rsid w:val="00F90B98"/>
    <w:rsid w:val="00F918FA"/>
    <w:rsid w:val="00F926A2"/>
    <w:rsid w:val="00F962E4"/>
    <w:rsid w:val="00F9794D"/>
    <w:rsid w:val="00FA001D"/>
    <w:rsid w:val="00FA1CF6"/>
    <w:rsid w:val="00FA1EAD"/>
    <w:rsid w:val="00FA30E0"/>
    <w:rsid w:val="00FA32F8"/>
    <w:rsid w:val="00FA569F"/>
    <w:rsid w:val="00FB5415"/>
    <w:rsid w:val="00FB702D"/>
    <w:rsid w:val="00FC6B03"/>
    <w:rsid w:val="00FD3846"/>
    <w:rsid w:val="00FD685A"/>
    <w:rsid w:val="00FE1113"/>
    <w:rsid w:val="00FE1C0E"/>
    <w:rsid w:val="00FE5F16"/>
    <w:rsid w:val="00FE7509"/>
    <w:rsid w:val="00FF0E5B"/>
    <w:rsid w:val="00FF2A86"/>
    <w:rsid w:val="00FF3BF3"/>
    <w:rsid w:val="00FF5DA4"/>
    <w:rsid w:val="00FF5E2D"/>
    <w:rsid w:val="00FF650E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9919BBE1-7718-41EB-8F1E-7A256040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outline w:val="0"/>
      <w:color w:val="0563C1"/>
      <w:u w:val="single" w:color="0563C1"/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outline w:val="0"/>
      <w:color w:val="000000"/>
      <w:sz w:val="20"/>
      <w:szCs w:val="20"/>
      <w:u w:val="single"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A">
    <w:name w:val="Nessuno A"/>
    <w:rsid w:val="0000342F"/>
    <w:rPr>
      <w:lang w:val="en-GB"/>
    </w:rPr>
  </w:style>
  <w:style w:type="character" w:styleId="Menzionenonrisolta">
    <w:name w:val="Unresolved Mention"/>
    <w:basedOn w:val="Carpredefinitoparagrafo"/>
    <w:uiPriority w:val="99"/>
    <w:semiHidden/>
    <w:unhideWhenUsed/>
    <w:rsid w:val="003702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BB8609-8FAC-4E0B-A4F1-C1C1E77D2E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FDC610-5BB2-49BC-AFF2-93C3BBFC8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4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4</cp:revision>
  <cp:lastPrinted>2023-06-15T10:17:00Z</cp:lastPrinted>
  <dcterms:created xsi:type="dcterms:W3CDTF">2023-09-28T16:44:00Z</dcterms:created>
  <dcterms:modified xsi:type="dcterms:W3CDTF">2023-09-29T14:28:00Z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